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32"/>
          <w:szCs w:val="32"/>
        </w:rPr>
        <w:drawing>
          <wp:inline distT="0" distB="0" distL="114300" distR="114300">
            <wp:extent cx="6541770" cy="1573530"/>
            <wp:effectExtent l="0" t="0" r="0" b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1573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114300" distB="114300" distL="114300" distR="114300">
            <wp:extent cx="6562415" cy="185420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415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проведении Всероссийского конкурса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«Мужская профессия - 2023»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«Мужская профессия – 2023» (далее – Конкурс) проводится среди учителей русского языка и литературы.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конкурса – привлечь внимание широкой общественности к значимости профессии учителя и </w:t>
      </w:r>
      <w:r>
        <w:rPr>
          <w:sz w:val="28"/>
          <w:szCs w:val="28"/>
        </w:rPr>
        <w:t xml:space="preserve">важному </w:t>
      </w:r>
      <w:r>
        <w:rPr>
          <w:color w:val="000000"/>
          <w:sz w:val="28"/>
          <w:szCs w:val="28"/>
        </w:rPr>
        <w:t>месту в школе педагога-мужчины.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конкурса – педагоги-мужчины, работающие учителями</w:t>
      </w:r>
      <w:r>
        <w:rPr>
          <w:sz w:val="28"/>
          <w:szCs w:val="28"/>
        </w:rPr>
        <w:t xml:space="preserve">, преподающими русский язык и </w:t>
      </w:r>
      <w:proofErr w:type="gramStart"/>
      <w:r>
        <w:rPr>
          <w:sz w:val="28"/>
          <w:szCs w:val="28"/>
        </w:rPr>
        <w:t xml:space="preserve">литературу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общеобразовательных гос</w:t>
      </w:r>
      <w:r>
        <w:rPr>
          <w:color w:val="000000"/>
          <w:sz w:val="28"/>
          <w:szCs w:val="28"/>
        </w:rPr>
        <w:t xml:space="preserve">ударственных и </w:t>
      </w:r>
      <w:r>
        <w:rPr>
          <w:sz w:val="28"/>
          <w:szCs w:val="28"/>
        </w:rPr>
        <w:t>частных</w:t>
      </w:r>
      <w:r>
        <w:rPr>
          <w:color w:val="000000"/>
          <w:sz w:val="28"/>
          <w:szCs w:val="28"/>
        </w:rPr>
        <w:t xml:space="preserve"> организациях разного </w:t>
      </w:r>
      <w:r>
        <w:rPr>
          <w:sz w:val="28"/>
          <w:szCs w:val="28"/>
        </w:rPr>
        <w:t>вида (школах, лицеях, гимназиях)</w:t>
      </w:r>
      <w:r>
        <w:rPr>
          <w:color w:val="000000"/>
          <w:sz w:val="28"/>
          <w:szCs w:val="28"/>
        </w:rPr>
        <w:t>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География конкурса не ограничена.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Призовой фонд конкурса – 1 </w:t>
      </w:r>
      <w:r>
        <w:rPr>
          <w:sz w:val="28"/>
          <w:szCs w:val="28"/>
        </w:rPr>
        <w:t>200 000</w:t>
      </w:r>
      <w:r>
        <w:rPr>
          <w:color w:val="000000"/>
          <w:sz w:val="28"/>
          <w:szCs w:val="28"/>
        </w:rPr>
        <w:t xml:space="preserve"> рублей.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Регламент проведения конкурса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этапа: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1</w:t>
      </w:r>
      <w:proofErr w:type="gramEnd"/>
      <w:r>
        <w:rPr>
          <w:b/>
          <w:color w:val="000000"/>
          <w:sz w:val="28"/>
          <w:szCs w:val="28"/>
        </w:rPr>
        <w:t xml:space="preserve"> этап (заочный) – конкурс </w:t>
      </w:r>
      <w:r>
        <w:rPr>
          <w:b/>
          <w:sz w:val="28"/>
          <w:szCs w:val="28"/>
        </w:rPr>
        <w:t>зая</w:t>
      </w:r>
      <w:r>
        <w:rPr>
          <w:b/>
          <w:sz w:val="28"/>
          <w:szCs w:val="28"/>
        </w:rPr>
        <w:t>вок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этапа </w:t>
      </w:r>
      <w:r>
        <w:rPr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.2022 – </w:t>
      </w:r>
      <w:r>
        <w:rPr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.2022.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 xml:space="preserve">учителя-словесники </w:t>
      </w:r>
      <w:r>
        <w:rPr>
          <w:color w:val="000000"/>
          <w:sz w:val="28"/>
          <w:szCs w:val="28"/>
        </w:rPr>
        <w:t>высылают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4F5882" w:rsidRDefault="009663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анкету </w:t>
      </w:r>
      <w:r>
        <w:rPr>
          <w:color w:val="000000"/>
          <w:sz w:val="28"/>
          <w:szCs w:val="28"/>
        </w:rPr>
        <w:t xml:space="preserve">(Приложение 1), </w:t>
      </w:r>
    </w:p>
    <w:p w:rsidR="004F5882" w:rsidRDefault="009663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видеовизитку</w:t>
      </w:r>
      <w:proofErr w:type="spellEnd"/>
      <w:r>
        <w:rPr>
          <w:sz w:val="28"/>
          <w:szCs w:val="28"/>
        </w:rPr>
        <w:t>,</w:t>
      </w:r>
    </w:p>
    <w:p w:rsidR="004F5882" w:rsidRDefault="009663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(Приложение 2)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электронный адрес </w:t>
      </w:r>
      <w:r>
        <w:rPr>
          <w:b/>
          <w:color w:val="000000"/>
          <w:sz w:val="28"/>
          <w:szCs w:val="28"/>
        </w:rPr>
        <w:t>konkursgorchakov@gmail.com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30 ноябр</w:t>
      </w:r>
      <w:r>
        <w:rPr>
          <w:color w:val="000000"/>
          <w:sz w:val="28"/>
          <w:szCs w:val="28"/>
        </w:rPr>
        <w:t xml:space="preserve">я 2022 г. по </w:t>
      </w:r>
      <w:r>
        <w:rPr>
          <w:sz w:val="28"/>
          <w:szCs w:val="28"/>
        </w:rPr>
        <w:t xml:space="preserve">30 декабря </w:t>
      </w:r>
      <w:r>
        <w:rPr>
          <w:color w:val="000000"/>
          <w:sz w:val="28"/>
          <w:szCs w:val="28"/>
        </w:rPr>
        <w:t xml:space="preserve">2022 г.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Присланные материалы рассматривает отборочная комиссия, состав которой утверждается Председателем оргкомитета конкурса.</w:t>
      </w:r>
    </w:p>
    <w:p w:rsidR="004F5882" w:rsidRDefault="009663B5">
      <w:pPr>
        <w:tabs>
          <w:tab w:val="left" w:pos="0"/>
          <w:tab w:val="left" w:pos="1092"/>
        </w:tabs>
        <w:spacing w:line="276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2.2 Тур 2 (заочный) – онлайн тестирование</w:t>
      </w:r>
    </w:p>
    <w:p w:rsidR="004F5882" w:rsidRDefault="009663B5">
      <w:pPr>
        <w:tabs>
          <w:tab w:val="left" w:pos="0"/>
          <w:tab w:val="left" w:pos="1092"/>
        </w:tabs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Сроки проведения этапа 20.12.2022 – 20.01.2023.</w:t>
      </w:r>
    </w:p>
    <w:p w:rsidR="004F5882" w:rsidRDefault="009663B5">
      <w:pPr>
        <w:tabs>
          <w:tab w:val="left" w:pos="0"/>
          <w:tab w:val="left" w:pos="1092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Во 2 туре участники выполняют в онлайн-формате задания, проверяющие предметные знания и педагогические навыки.</w:t>
      </w:r>
    </w:p>
    <w:p w:rsidR="004F5882" w:rsidRDefault="009663B5">
      <w:pPr>
        <w:tabs>
          <w:tab w:val="left" w:pos="0"/>
          <w:tab w:val="left" w:pos="1092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следующем туре приглашается 5 человек, набравших максимальное количество баллов.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Списки участников 3 тура размещаются на сайте Конкур</w:t>
      </w:r>
      <w:r>
        <w:rPr>
          <w:sz w:val="28"/>
          <w:szCs w:val="28"/>
        </w:rPr>
        <w:t xml:space="preserve">са </w:t>
      </w:r>
      <w:proofErr w:type="spellStart"/>
      <w:proofErr w:type="gramStart"/>
      <w:r>
        <w:rPr>
          <w:b/>
          <w:sz w:val="28"/>
          <w:szCs w:val="28"/>
        </w:rPr>
        <w:t>мужскаяпрофессия.рф</w:t>
      </w:r>
      <w:proofErr w:type="spellEnd"/>
      <w:proofErr w:type="gramEnd"/>
      <w:r>
        <w:rPr>
          <w:sz w:val="28"/>
          <w:szCs w:val="28"/>
        </w:rPr>
        <w:t xml:space="preserve"> не позднее 1 февраля 2023 г.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  <w:tab w:val="left" w:pos="1078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>
        <w:rPr>
          <w:b/>
          <w:color w:val="000000"/>
          <w:sz w:val="28"/>
          <w:szCs w:val="28"/>
        </w:rPr>
        <w:t>Финал (очный)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Финал проводится в АНОО «Школа имени А.М. Горчакова» 22-23 февраля 2023 года.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22 февраля финалистам предоставляется возможность познакомиться со школой и классами, в которых им предстои</w:t>
      </w:r>
      <w:r>
        <w:rPr>
          <w:sz w:val="28"/>
          <w:szCs w:val="28"/>
        </w:rPr>
        <w:t xml:space="preserve">т дать открытые уроки. 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уроки проводятся 23 февраля. 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Темы уроков объявляются финалистам за 7 дней до даты открытого урока.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Уроки финалистов оценивает жюри, в которое входят представители профессионального педагогического сообщества.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</w:t>
      </w:r>
      <w:r>
        <w:rPr>
          <w:sz w:val="28"/>
          <w:szCs w:val="28"/>
        </w:rPr>
        <w:t xml:space="preserve"> всех уроков каждый член жюри создаёт рейтинг финалистов. 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урока члены жюри руководствуются профессиональными представлениями об идеальном современном уроке и педагоге.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Имена победителя и призеров объявляются на итоговой церемонии по результ</w:t>
      </w:r>
      <w:r>
        <w:rPr>
          <w:sz w:val="28"/>
          <w:szCs w:val="28"/>
        </w:rPr>
        <w:t>атам совокупного рейтинга.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Награждение победителей и призеров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Победитель и призеры определяются по сумме набранных баллов в финале Конкурса.  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Призовой фонд Конкурса распределяется следующим образом: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I место - 1 000 000 руб.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II место - 100 000 руб.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место - 100 000 руб. </w:t>
      </w:r>
    </w:p>
    <w:p w:rsidR="004F5882" w:rsidRDefault="009663B5">
      <w:pPr>
        <w:tabs>
          <w:tab w:val="left" w:pos="854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Члены Конкурсной комиссии имеют право устанавливать дополнительные номинации и предоставлять дополнительные призы.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Оргкомитет и Конкурсная комиссия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Председатель Оргкомитета Конкурса – </w:t>
      </w:r>
      <w:r>
        <w:rPr>
          <w:i/>
          <w:sz w:val="28"/>
          <w:szCs w:val="28"/>
        </w:rPr>
        <w:t xml:space="preserve">Дмитрий </w:t>
      </w:r>
      <w:r>
        <w:rPr>
          <w:i/>
          <w:color w:val="000000"/>
          <w:sz w:val="28"/>
          <w:szCs w:val="28"/>
        </w:rPr>
        <w:t xml:space="preserve">Владимирович </w:t>
      </w:r>
      <w:proofErr w:type="spellStart"/>
      <w:r>
        <w:rPr>
          <w:i/>
          <w:sz w:val="28"/>
          <w:szCs w:val="28"/>
        </w:rPr>
        <w:t>Баичкин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директора АНОО «Школа имени А.М. Горчакова».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Состав Конкурсной комиссии утверждается председателем Оргкомитета не позднее 15 </w:t>
      </w:r>
      <w:r>
        <w:rPr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2022 года. 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Председатель Конкурсной комиссии – </w:t>
      </w:r>
      <w:proofErr w:type="spellStart"/>
      <w:r>
        <w:rPr>
          <w:i/>
          <w:sz w:val="28"/>
          <w:szCs w:val="28"/>
        </w:rPr>
        <w:t>Свирина</w:t>
      </w:r>
      <w:proofErr w:type="spellEnd"/>
      <w:r>
        <w:rPr>
          <w:i/>
          <w:sz w:val="28"/>
          <w:szCs w:val="28"/>
        </w:rPr>
        <w:t xml:space="preserve"> Наталья Михайловна </w:t>
      </w:r>
      <w:r>
        <w:rPr>
          <w:sz w:val="28"/>
          <w:szCs w:val="28"/>
        </w:rPr>
        <w:t xml:space="preserve">–   </w:t>
      </w:r>
      <w:r>
        <w:rPr>
          <w:sz w:val="28"/>
          <w:szCs w:val="28"/>
          <w:highlight w:val="white"/>
        </w:rPr>
        <w:t>доктор педагогических наук, пр</w:t>
      </w:r>
      <w:r>
        <w:rPr>
          <w:sz w:val="28"/>
          <w:szCs w:val="28"/>
          <w:highlight w:val="white"/>
        </w:rPr>
        <w:t xml:space="preserve">офессор, заведующая кафедрой педагогики Института </w:t>
      </w:r>
      <w:r>
        <w:rPr>
          <w:sz w:val="28"/>
          <w:szCs w:val="28"/>
          <w:highlight w:val="white"/>
        </w:rPr>
        <w:lastRenderedPageBreak/>
        <w:t>специальной педагогики и психологии, председатель жюри олимпиады по литературе (Санкт-Петербург), научный руководитель Ассоциации гимназий Санкт-Петербурга.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>
        <w:rPr>
          <w:sz w:val="28"/>
          <w:szCs w:val="28"/>
        </w:rPr>
        <w:t xml:space="preserve"> Члены Конкурсной комиссии утверждаются председателем Оргкомитета.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 Заключительные положения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Учителя, работающие в Школе имени А.М. Горчакова, победители и призеры прошлых лет в конкурсе участия не принимают.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Заявления от педагогов, работающих т</w:t>
      </w:r>
      <w:r>
        <w:rPr>
          <w:color w:val="000000"/>
          <w:sz w:val="28"/>
          <w:szCs w:val="28"/>
        </w:rPr>
        <w:t>олько в организациях дополнительного образования, не рассматриваются.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Как правило, участники очного тура и финала берут на себя все организационные </w:t>
      </w:r>
      <w:r>
        <w:rPr>
          <w:sz w:val="28"/>
          <w:szCs w:val="28"/>
        </w:rPr>
        <w:t>и сопутствующие расходы</w:t>
      </w:r>
      <w:r>
        <w:rPr>
          <w:color w:val="000000"/>
          <w:sz w:val="28"/>
          <w:szCs w:val="28"/>
        </w:rPr>
        <w:t xml:space="preserve"> (проезд, проживание и проч.).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особых случаях организационный комитет Конку</w:t>
      </w:r>
      <w:r>
        <w:rPr>
          <w:sz w:val="28"/>
          <w:szCs w:val="28"/>
        </w:rPr>
        <w:t>рса может компенсировать затраты на проезд и проживание финалистов.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Оргкомитет оставляет за собой право </w:t>
      </w:r>
      <w:r>
        <w:rPr>
          <w:sz w:val="28"/>
          <w:szCs w:val="28"/>
        </w:rPr>
        <w:t xml:space="preserve">продлевать </w:t>
      </w:r>
      <w:r>
        <w:rPr>
          <w:color w:val="000000"/>
          <w:sz w:val="28"/>
          <w:szCs w:val="28"/>
        </w:rPr>
        <w:t>сроки проведения этап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конкурса в случае возникновения непредвиденных обстоятельств.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0" w:hanging="2"/>
        <w:jc w:val="right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 на конкурс «Мужская профессия»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104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120"/>
      </w:tblGrid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проживания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>
              <w:rPr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ссылка на </w:t>
            </w:r>
            <w:proofErr w:type="spellStart"/>
            <w:r>
              <w:rPr>
                <w:color w:val="000000"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(полное наименование учебного заведения, год окончания, форма обучения, специальность, серия и номер диплома, дата выдачи)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Должность, функционал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Учебная нагрузка в текущем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авторы и книги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spacing w:before="280" w:after="280"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кредо, педагогический девиз, мои учителя в педагогике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4F588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96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которую Вы бы хотели сообщить конкурсной комиссии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82" w:rsidRDefault="004F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</w:tbl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Приложение 2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Согласие на обработку персональных данных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1C1C1C"/>
          <w:sz w:val="28"/>
          <w:szCs w:val="28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Я, ____________________________________________________, проживающий по адресу ________________________________________________________________,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подтверждаю свое ознакомление с нормативными документами, определяющими порядок проведения конкурса «Мужская пр</w:t>
      </w:r>
      <w:r>
        <w:rPr>
          <w:color w:val="1C1C1C"/>
        </w:rPr>
        <w:t xml:space="preserve">офессия» (далее - Конкурс), а именно с Положением о проведении конкурса «Мужская профессия 2022», утвержденным учредителем АНОО «Школа имени А.М. </w:t>
      </w:r>
      <w:proofErr w:type="gramStart"/>
      <w:r>
        <w:rPr>
          <w:color w:val="1C1C1C"/>
        </w:rPr>
        <w:t>Горчакова»  (</w:t>
      </w:r>
      <w:proofErr w:type="gramEnd"/>
      <w:r>
        <w:rPr>
          <w:color w:val="1C1C1C"/>
        </w:rPr>
        <w:t>далее - Организатор Конкурса).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В соответствии с Федеральным законом от 27.07.2006 №152-ФЗ «О перс</w:t>
      </w:r>
      <w:r>
        <w:rPr>
          <w:color w:val="1C1C1C"/>
        </w:rPr>
        <w:t>ональных данных» настоящим даю согласие Организатору Конкурса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</w:t>
      </w:r>
      <w:r>
        <w:rPr>
          <w:color w:val="1C1C1C"/>
        </w:rPr>
        <w:t>тавление, доступ), обезличивание, блокирование, удаление, уничтожение персональных данных, а также публикацию персональных данных в общедоступных источниках. Согласие дается свободно, своей волей и в своем интересе. Согласие дается в целях проведения Орган</w:t>
      </w:r>
      <w:r>
        <w:rPr>
          <w:color w:val="1C1C1C"/>
        </w:rPr>
        <w:t xml:space="preserve">изатором Конкурса, в </w:t>
      </w:r>
      <w:proofErr w:type="spellStart"/>
      <w:r>
        <w:rPr>
          <w:color w:val="1C1C1C"/>
        </w:rPr>
        <w:t>т.ч</w:t>
      </w:r>
      <w:proofErr w:type="spellEnd"/>
      <w:r>
        <w:rPr>
          <w:color w:val="1C1C1C"/>
        </w:rPr>
        <w:t>. приглашения субъекта персональных данных для участия Конкурсе и иных мероприятиях, проводимых Организатором Конкурса.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сведения об образовании субъекта персональных данных, наименование образовател</w:t>
      </w:r>
      <w:r>
        <w:rPr>
          <w:color w:val="1C1C1C"/>
        </w:rPr>
        <w:t>ьной организации, в которой работает субъект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Организатору Конкурса.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 xml:space="preserve">Содержание действий по </w:t>
      </w:r>
      <w:r>
        <w:rPr>
          <w:color w:val="1C1C1C"/>
        </w:rPr>
        <w:t>обработке персональных данных, необходимость их выполнения, а также мои права по отзыву данного согласия мне понятны.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Настоящее согласие действует со дня его подписания и до дня отзыва в письменной форме.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 xml:space="preserve">_________________             ___________________  </w:t>
      </w:r>
      <w:proofErr w:type="gramStart"/>
      <w:r>
        <w:rPr>
          <w:color w:val="1C1C1C"/>
        </w:rPr>
        <w:t xml:space="preserve">   «</w:t>
      </w:r>
      <w:proofErr w:type="gramEnd"/>
      <w:r>
        <w:rPr>
          <w:color w:val="1C1C1C"/>
        </w:rPr>
        <w:t xml:space="preserve">     » ___________ 20    г.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before="280" w:line="400" w:lineRule="auto"/>
        <w:ind w:left="0" w:hanging="2"/>
        <w:jc w:val="both"/>
        <w:rPr>
          <w:color w:val="1C1C1C"/>
        </w:rPr>
      </w:pPr>
      <w:r>
        <w:rPr>
          <w:color w:val="1C1C1C"/>
        </w:rPr>
        <w:t>Подпись                                            Расшифровка подписи</w:t>
      </w: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Приложение 3</w:t>
      </w: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5882" w:rsidRDefault="009663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оценивания </w:t>
      </w:r>
      <w:proofErr w:type="spellStart"/>
      <w:r>
        <w:rPr>
          <w:b/>
          <w:sz w:val="28"/>
          <w:szCs w:val="28"/>
        </w:rPr>
        <w:t>видеовизитки</w:t>
      </w:r>
      <w:proofErr w:type="spellEnd"/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F5882" w:rsidRDefault="004F5882">
      <w:pPr>
        <w:ind w:left="0" w:hanging="2"/>
      </w:pPr>
    </w:p>
    <w:tbl>
      <w:tblPr>
        <w:tblStyle w:val="af1"/>
        <w:tblW w:w="826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7"/>
        <w:gridCol w:w="1234"/>
        <w:gridCol w:w="1688"/>
      </w:tblGrid>
      <w:tr w:rsidR="004F5882">
        <w:trPr>
          <w:jc w:val="center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white"/>
              </w:rPr>
              <w:t>Критерии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white"/>
              </w:rPr>
              <w:t>Баллы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white"/>
              </w:rPr>
              <w:t>Макс. балл</w:t>
            </w:r>
          </w:p>
        </w:tc>
      </w:tr>
      <w:tr w:rsidR="004F5882">
        <w:trPr>
          <w:cantSplit/>
          <w:trHeight w:val="420"/>
          <w:jc w:val="center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Формальный (грамотность речи, продуманность композиции, эстетика  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макс. 3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Макс. 5</w:t>
            </w:r>
          </w:p>
        </w:tc>
      </w:tr>
      <w:tr w:rsidR="004F5882">
        <w:trPr>
          <w:cantSplit/>
          <w:trHeight w:val="420"/>
          <w:jc w:val="center"/>
        </w:trPr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Содержательный (информативность, </w:t>
            </w:r>
            <w:proofErr w:type="spellStart"/>
            <w:r>
              <w:rPr>
                <w:sz w:val="28"/>
                <w:szCs w:val="28"/>
              </w:rPr>
              <w:t>рефлексивность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9663B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макс. 2</w:t>
            </w: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882" w:rsidRDefault="004F5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</w:tbl>
    <w:p w:rsidR="004F5882" w:rsidRDefault="004F5882">
      <w:pPr>
        <w:ind w:left="0" w:hanging="2"/>
      </w:pPr>
    </w:p>
    <w:p w:rsidR="004F5882" w:rsidRDefault="004F5882">
      <w:pPr>
        <w:ind w:left="0" w:hanging="2"/>
      </w:pPr>
    </w:p>
    <w:p w:rsidR="004F5882" w:rsidRDefault="004F5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4F5882" w:rsidRDefault="004F5882">
      <w:pPr>
        <w:ind w:left="0" w:hanging="2"/>
      </w:pPr>
    </w:p>
    <w:sectPr w:rsidR="004F5882">
      <w:pgSz w:w="11906" w:h="16838"/>
      <w:pgMar w:top="567" w:right="851" w:bottom="89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5D1D"/>
    <w:multiLevelType w:val="multilevel"/>
    <w:tmpl w:val="B7585D6E"/>
    <w:lvl w:ilvl="0">
      <w:start w:val="1"/>
      <w:numFmt w:val="decimal"/>
      <w:lvlText w:val="%1)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82"/>
    <w:rsid w:val="004F5882"/>
    <w:rsid w:val="0096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728A-099F-4069-8C0B-B54230D5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 (веб)1"/>
    <w:basedOn w:val="a"/>
    <w:qFormat/>
    <w:pPr>
      <w:spacing w:before="100" w:beforeAutospacing="1" w:after="100" w:afterAutospacing="1"/>
    </w:pPr>
  </w:style>
  <w:style w:type="character" w:styleId="a4">
    <w:name w:val="Hyperlink"/>
    <w:basedOn w:val="a0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j8nQWHII0Ich4+dfynOcejsNg==">AMUW2mXBi2/4veNwJ1qUQKhvJ8uDHcV+hrLFLi1mhpyfs9Ct6UizIbn7ffnc/I7zfP2vmDuU9gaoOjPLPVvFOucqQ0WPKkvfMpKBEoo6btIgdBLHW9QfZyQ=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Рамила</cp:lastModifiedBy>
  <cp:revision>2</cp:revision>
  <dcterms:created xsi:type="dcterms:W3CDTF">2022-12-07T16:31:00Z</dcterms:created>
  <dcterms:modified xsi:type="dcterms:W3CDTF">2022-12-07T16:31:00Z</dcterms:modified>
</cp:coreProperties>
</file>